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r>
        <w:rPr>
          <w:sz w:val="26"/>
          <w:szCs w:val="26"/>
        </w:rPr>
        <w:t>Stephenson Area Public Schools</w:t>
      </w:r>
    </w:p>
    <w:p w:rsidR="00BB7CD9" w:rsidRDefault="00AE3B10">
      <w:pPr>
        <w:jc w:val="center"/>
        <w:rPr>
          <w:sz w:val="26"/>
          <w:szCs w:val="26"/>
        </w:rPr>
      </w:pPr>
      <w:r>
        <w:rPr>
          <w:sz w:val="26"/>
          <w:szCs w:val="26"/>
        </w:rPr>
        <w:t>Truth in Budgeting</w:t>
      </w:r>
      <w:r w:rsidR="001810A9">
        <w:rPr>
          <w:sz w:val="26"/>
          <w:szCs w:val="26"/>
        </w:rPr>
        <w:t xml:space="preserve"> Meeting Agenda</w:t>
      </w:r>
    </w:p>
    <w:p w:rsidR="00BB7CD9" w:rsidRDefault="0010230E">
      <w:pPr>
        <w:jc w:val="center"/>
        <w:rPr>
          <w:sz w:val="20"/>
          <w:szCs w:val="20"/>
        </w:rPr>
      </w:pPr>
      <w:r>
        <w:rPr>
          <w:sz w:val="20"/>
          <w:szCs w:val="20"/>
        </w:rPr>
        <w:t>June 27</w:t>
      </w:r>
      <w:r w:rsidR="00D47A58">
        <w:rPr>
          <w:sz w:val="20"/>
          <w:szCs w:val="20"/>
        </w:rPr>
        <w:t>, 2018</w:t>
      </w:r>
    </w:p>
    <w:p w:rsidR="00BB7CD9" w:rsidRDefault="00AE3B10">
      <w:pPr>
        <w:jc w:val="center"/>
        <w:rPr>
          <w:sz w:val="20"/>
          <w:szCs w:val="20"/>
        </w:rPr>
      </w:pPr>
      <w:r>
        <w:rPr>
          <w:sz w:val="20"/>
          <w:szCs w:val="20"/>
        </w:rPr>
        <w:t>6:00</w:t>
      </w:r>
      <w:r w:rsidR="00D47A58">
        <w:rPr>
          <w:sz w:val="20"/>
          <w:szCs w:val="20"/>
        </w:rPr>
        <w:t xml:space="preserve"> pm</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BB7CD9" w:rsidRDefault="00D47A58">
      <w:pPr>
        <w:ind w:left="720" w:firstLine="720"/>
        <w:rPr>
          <w:sz w:val="20"/>
          <w:szCs w:val="20"/>
        </w:rPr>
      </w:pPr>
      <w:r>
        <w:rPr>
          <w:sz w:val="20"/>
          <w:szCs w:val="20"/>
        </w:rPr>
        <w:t xml:space="preserve">Christina Kakuk, Barb Zahorik, Paul Putnam, Kurt Wangerin, Joe LaPointe, </w:t>
      </w:r>
    </w:p>
    <w:p w:rsidR="00BB7CD9" w:rsidRDefault="00D47A58">
      <w:pPr>
        <w:ind w:left="720" w:firstLine="720"/>
        <w:rPr>
          <w:sz w:val="20"/>
          <w:szCs w:val="20"/>
        </w:rPr>
      </w:pPr>
      <w:r>
        <w:rPr>
          <w:sz w:val="20"/>
          <w:szCs w:val="20"/>
        </w:rPr>
        <w:t>Jane Moker, Chris Spaude</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6C4F0B" w:rsidRDefault="00AE3B10">
      <w:pPr>
        <w:ind w:firstLine="720"/>
        <w:rPr>
          <w:sz w:val="20"/>
          <w:szCs w:val="20"/>
        </w:rPr>
      </w:pPr>
      <w:r>
        <w:rPr>
          <w:sz w:val="20"/>
          <w:szCs w:val="20"/>
        </w:rPr>
        <w:t>5.</w:t>
      </w:r>
      <w:r>
        <w:rPr>
          <w:sz w:val="20"/>
          <w:szCs w:val="20"/>
        </w:rPr>
        <w:tab/>
        <w:t>Approval of Agenda</w:t>
      </w:r>
    </w:p>
    <w:p w:rsidR="006C4F0B" w:rsidRDefault="006C4F0B">
      <w:pPr>
        <w:ind w:firstLine="720"/>
        <w:rPr>
          <w:sz w:val="20"/>
          <w:szCs w:val="20"/>
        </w:rPr>
      </w:pPr>
    </w:p>
    <w:p w:rsidR="00BB7CD9" w:rsidRDefault="006C4F0B">
      <w:pPr>
        <w:ind w:firstLine="720"/>
        <w:rPr>
          <w:sz w:val="20"/>
          <w:szCs w:val="20"/>
        </w:rPr>
      </w:pPr>
      <w:r>
        <w:rPr>
          <w:sz w:val="20"/>
          <w:szCs w:val="20"/>
        </w:rPr>
        <w:t>8.</w:t>
      </w:r>
      <w:r>
        <w:rPr>
          <w:sz w:val="20"/>
          <w:szCs w:val="20"/>
        </w:rPr>
        <w:tab/>
      </w:r>
      <w:r w:rsidR="00DD42D9">
        <w:rPr>
          <w:sz w:val="20"/>
          <w:szCs w:val="20"/>
        </w:rPr>
        <w:t>Presenta</w:t>
      </w:r>
      <w:r w:rsidR="004074AA">
        <w:rPr>
          <w:sz w:val="20"/>
          <w:szCs w:val="20"/>
        </w:rPr>
        <w:t xml:space="preserve">tion of the proposed 2018-2019 </w:t>
      </w:r>
      <w:bookmarkStart w:id="0" w:name="_GoBack"/>
      <w:bookmarkEnd w:id="0"/>
      <w:r w:rsidR="00DD42D9">
        <w:rPr>
          <w:sz w:val="20"/>
          <w:szCs w:val="20"/>
        </w:rPr>
        <w:t>Budget.</w:t>
      </w:r>
    </w:p>
    <w:p w:rsidR="00DD42D9" w:rsidRDefault="00DD42D9">
      <w:pPr>
        <w:ind w:firstLine="720"/>
        <w:rPr>
          <w:sz w:val="20"/>
          <w:szCs w:val="20"/>
        </w:rPr>
      </w:pPr>
    </w:p>
    <w:p w:rsidR="00BB7CD9" w:rsidRDefault="00D47A58" w:rsidP="00DD42D9">
      <w:pPr>
        <w:ind w:left="720" w:firstLine="720"/>
        <w:rPr>
          <w:sz w:val="20"/>
          <w:szCs w:val="20"/>
        </w:rPr>
      </w:pPr>
      <w:bookmarkStart w:id="1" w:name="_gjdgxs" w:colFirst="0" w:colLast="0"/>
      <w:bookmarkEnd w:id="1"/>
      <w:r>
        <w:rPr>
          <w:sz w:val="20"/>
          <w:szCs w:val="20"/>
        </w:rPr>
        <w:t>Guest and Public Comment</w:t>
      </w:r>
    </w:p>
    <w:p w:rsidR="00BB7CD9" w:rsidRDefault="00BB7CD9">
      <w:pPr>
        <w:ind w:firstLine="720"/>
        <w:rPr>
          <w:sz w:val="20"/>
          <w:szCs w:val="20"/>
        </w:rPr>
      </w:pPr>
    </w:p>
    <w:p w:rsidR="00BB7CD9" w:rsidRDefault="00D47A58">
      <w:p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56D90"/>
    <w:rsid w:val="000C4AA7"/>
    <w:rsid w:val="0010230E"/>
    <w:rsid w:val="001810A9"/>
    <w:rsid w:val="003730CA"/>
    <w:rsid w:val="00394751"/>
    <w:rsid w:val="003C6683"/>
    <w:rsid w:val="003F4E8C"/>
    <w:rsid w:val="004074AA"/>
    <w:rsid w:val="006C4F0B"/>
    <w:rsid w:val="008E5437"/>
    <w:rsid w:val="00974238"/>
    <w:rsid w:val="00AB62E0"/>
    <w:rsid w:val="00AE3B10"/>
    <w:rsid w:val="00BB7CD9"/>
    <w:rsid w:val="00D127C1"/>
    <w:rsid w:val="00D47A58"/>
    <w:rsid w:val="00DA576C"/>
    <w:rsid w:val="00DD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91F7"/>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Kraft</dc:creator>
  <cp:lastModifiedBy>Ron Kraft</cp:lastModifiedBy>
  <cp:revision>5</cp:revision>
  <dcterms:created xsi:type="dcterms:W3CDTF">2018-06-21T18:35:00Z</dcterms:created>
  <dcterms:modified xsi:type="dcterms:W3CDTF">2018-06-21T18:52:00Z</dcterms:modified>
</cp:coreProperties>
</file>